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rPr>
      </w:pPr>
      <w:r>
        <w:rPr>
          <w:rFonts w:hint="eastAsia" w:ascii="黑体" w:hAnsi="黑体" w:eastAsia="黑体"/>
        </w:rPr>
        <w:t>附件6</w:t>
      </w:r>
    </w:p>
    <w:p>
      <w:pPr>
        <w:tabs>
          <w:tab w:val="left" w:pos="1440"/>
        </w:tabs>
        <w:spacing w:line="560" w:lineRule="exact"/>
        <w:rPr>
          <w:rFonts w:ascii="宋体" w:hAnsi="宋体" w:eastAsia="宋体"/>
          <w:sz w:val="30"/>
          <w:szCs w:val="30"/>
        </w:rPr>
      </w:pPr>
    </w:p>
    <w:p>
      <w:pPr>
        <w:pStyle w:val="6"/>
        <w:spacing w:line="56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lang w:val="en-US" w:eastAsia="zh-CN"/>
        </w:rPr>
        <w:t>“</w:t>
      </w:r>
      <w:r>
        <w:rPr>
          <w:rFonts w:hint="eastAsia" w:ascii="方正小标宋简体" w:hAnsi="宋体" w:eastAsia="方正小标宋简体"/>
          <w:sz w:val="44"/>
          <w:szCs w:val="44"/>
          <w:lang w:val="en-US"/>
        </w:rPr>
        <w:t>乐山市第一职业高级中学新校园建设国有建设用地土地划拨价款缺口资金预算</w:t>
      </w:r>
      <w:r>
        <w:rPr>
          <w:rFonts w:hint="eastAsia" w:ascii="方正小标宋简体" w:hAnsi="宋体" w:eastAsia="方正小标宋简体"/>
          <w:sz w:val="44"/>
          <w:szCs w:val="44"/>
          <w:lang w:val="en-US" w:eastAsia="zh-CN"/>
        </w:rPr>
        <w:t>”</w:t>
      </w:r>
      <w:r>
        <w:rPr>
          <w:rFonts w:hint="eastAsia" w:ascii="方正小标宋简体" w:hAnsi="宋体" w:eastAsia="方正小标宋简体"/>
          <w:sz w:val="44"/>
          <w:szCs w:val="44"/>
          <w:lang w:val="en-US"/>
        </w:rPr>
        <w:t>重点</w:t>
      </w:r>
      <w:r>
        <w:rPr>
          <w:rFonts w:hint="eastAsia" w:ascii="方正小标宋简体" w:hAnsi="宋体" w:eastAsia="方正小标宋简体"/>
          <w:sz w:val="44"/>
          <w:szCs w:val="44"/>
        </w:rPr>
        <w:t>项目支出绩效自评报告</w:t>
      </w:r>
    </w:p>
    <w:p>
      <w:pPr>
        <w:pStyle w:val="6"/>
        <w:spacing w:line="560" w:lineRule="exact"/>
        <w:ind w:firstLine="640"/>
        <w:jc w:val="center"/>
        <w:rPr>
          <w:rFonts w:ascii="宋体" w:hAnsi="宋体"/>
          <w:color w:val="auto"/>
          <w:kern w:val="2"/>
          <w:sz w:val="32"/>
          <w:szCs w:val="32"/>
        </w:rPr>
      </w:pPr>
    </w:p>
    <w:p>
      <w:pPr>
        <w:numPr>
          <w:ilvl w:val="0"/>
          <w:numId w:val="1"/>
        </w:numPr>
        <w:adjustRightInd w:val="0"/>
        <w:snapToGrid w:val="0"/>
        <w:spacing w:line="56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60" w:lineRule="exact"/>
        <w:ind w:firstLine="640" w:firstLineChars="200"/>
        <w:rPr>
          <w:rFonts w:hint="default" w:ascii="仿宋_GB2312" w:hAnsi="宋体" w:eastAsia="黑体"/>
          <w:lang w:val="en-US" w:eastAsia="zh-CN"/>
        </w:rPr>
      </w:pPr>
      <w:r>
        <w:rPr>
          <w:rFonts w:hint="eastAsia" w:ascii="黑体" w:hAnsi="宋体" w:eastAsia="黑体"/>
          <w:lang w:val="zh-CN"/>
        </w:rPr>
        <w:t>乐山一职中新校园建设是乐山的挂牌督办的项目。新校园办学设计规模中职学历教育在校学生6000人，在岗、转岗和农村剩余劳动力转移等非学历培训每年3000人以上。项目选址位于乐山市市中区苏稽镇顺江村，乐山高职院新校区旁边。规划252.5亩。规划建设总面积126000平方米，绿地率40%，总容积率为0.7。根据年初预计</w:t>
      </w:r>
      <w:r>
        <w:rPr>
          <w:rFonts w:hint="eastAsia" w:ascii="黑体" w:hAnsi="宋体" w:eastAsia="黑体"/>
          <w:lang w:val="en-US" w:eastAsia="zh-CN"/>
        </w:rPr>
        <w:t>70万元/亩，现价为90每亩，补充土地资金5064.4万元。</w:t>
      </w:r>
    </w:p>
    <w:p>
      <w:pPr>
        <w:numPr>
          <w:ilvl w:val="0"/>
          <w:numId w:val="2"/>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numPr>
          <w:ilvl w:val="0"/>
          <w:numId w:val="0"/>
        </w:numPr>
        <w:adjustRightInd w:val="0"/>
        <w:snapToGrid w:val="0"/>
        <w:spacing w:line="560" w:lineRule="exact"/>
        <w:ind w:firstLine="643" w:firstLineChars="200"/>
        <w:rPr>
          <w:rFonts w:ascii="仿宋_GB2312" w:hAnsi="宋体"/>
          <w:lang w:val="zh-CN"/>
        </w:rPr>
      </w:pPr>
      <w:r>
        <w:rPr>
          <w:rFonts w:hint="eastAsia" w:ascii="楷体_GB2312" w:hAnsi="宋体" w:eastAsia="楷体_GB2312"/>
          <w:b/>
          <w:lang w:val="zh-CN"/>
        </w:rPr>
        <w:t>项目资金由学校经财政大平台指标中提交申报，申请单交由财政经办科室审批，符合资金管理办法的申报及批复程序。</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w:t>
      </w:r>
    </w:p>
    <w:p>
      <w:pPr>
        <w:numPr>
          <w:ilvl w:val="0"/>
          <w:numId w:val="0"/>
        </w:numPr>
        <w:adjustRightInd w:val="0"/>
        <w:snapToGrid w:val="0"/>
        <w:spacing w:line="560" w:lineRule="exact"/>
        <w:ind w:firstLine="964" w:firstLineChars="300"/>
        <w:rPr>
          <w:rFonts w:hint="eastAsia" w:ascii="楷体_GB2312" w:hAnsi="宋体" w:eastAsia="楷体_GB2312"/>
          <w:b/>
          <w:lang w:val="en-US" w:eastAsia="zh-CN"/>
        </w:rPr>
      </w:pPr>
      <w:r>
        <w:rPr>
          <w:rFonts w:hint="eastAsia" w:ascii="楷体_GB2312" w:hAnsi="宋体" w:eastAsia="楷体_GB2312"/>
          <w:b/>
          <w:lang w:val="zh-CN"/>
        </w:rPr>
        <w:t>项目主要内容为支付购置新校园土地款的缺口</w:t>
      </w:r>
      <w:r>
        <w:rPr>
          <w:rFonts w:hint="eastAsia" w:ascii="楷体_GB2312" w:hAnsi="宋体" w:eastAsia="楷体_GB2312"/>
          <w:b/>
          <w:lang w:val="en-US" w:eastAsia="zh-CN"/>
        </w:rPr>
        <w:t>5064万元，支付土地面积为252.66亩，每亩缺口20万元。项目执行进度为年末一次性支付。</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pPr>
        <w:numPr>
          <w:ilvl w:val="0"/>
          <w:numId w:val="0"/>
        </w:numPr>
        <w:adjustRightInd w:val="0"/>
        <w:snapToGrid w:val="0"/>
        <w:spacing w:line="560" w:lineRule="exact"/>
        <w:ind w:left="720" w:leftChars="0"/>
        <w:rPr>
          <w:rFonts w:ascii="仿宋_GB2312" w:hAnsi="宋体"/>
          <w:lang w:val="zh-CN"/>
        </w:rPr>
      </w:pPr>
      <w:r>
        <w:rPr>
          <w:rFonts w:hint="eastAsia" w:ascii="楷体_GB2312" w:hAnsi="宋体" w:eastAsia="楷体_GB2312"/>
          <w:b/>
          <w:lang w:val="zh-CN"/>
        </w:rPr>
        <w:t>该项目资金申报目标合理可行，与申报相符</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bookmarkStart w:id="0" w:name="_GoBack"/>
      <w:bookmarkEnd w:id="0"/>
    </w:p>
    <w:p>
      <w:pPr>
        <w:adjustRightInd w:val="0"/>
        <w:snapToGrid w:val="0"/>
        <w:spacing w:line="560" w:lineRule="exact"/>
        <w:ind w:firstLine="720"/>
        <w:rPr>
          <w:rFonts w:ascii="仿宋_GB2312" w:hAnsi="宋体"/>
          <w:lang w:val="zh-CN"/>
        </w:rPr>
      </w:pPr>
      <w:r>
        <w:rPr>
          <w:rFonts w:hint="eastAsia" w:ascii="楷体_GB2312" w:hAnsi="宋体" w:eastAsia="楷体_GB2312"/>
          <w:lang w:val="zh-CN"/>
        </w:rPr>
        <w:t>1．资金计划及到位市级资金下达计划及时，申报到位及时</w:t>
      </w:r>
    </w:p>
    <w:p>
      <w:pPr>
        <w:numPr>
          <w:ilvl w:val="0"/>
          <w:numId w:val="0"/>
        </w:numPr>
        <w:adjustRightInd w:val="0"/>
        <w:snapToGrid w:val="0"/>
        <w:spacing w:line="560" w:lineRule="exact"/>
        <w:ind w:firstLine="640" w:firstLineChars="200"/>
        <w:rPr>
          <w:rFonts w:hint="eastAsia" w:ascii="楷体_GB2312" w:hAnsi="宋体" w:eastAsia="楷体_GB2312"/>
          <w:lang w:val="zh-CN"/>
        </w:rPr>
      </w:pPr>
      <w:r>
        <w:rPr>
          <w:rFonts w:hint="eastAsia" w:ascii="楷体_GB2312" w:hAnsi="宋体" w:eastAsia="楷体_GB2312"/>
          <w:lang w:val="zh-CN"/>
        </w:rPr>
        <w:t>2．资金使用：</w:t>
      </w:r>
    </w:p>
    <w:p>
      <w:pPr>
        <w:numPr>
          <w:ilvl w:val="0"/>
          <w:numId w:val="0"/>
        </w:numPr>
        <w:adjustRightInd w:val="0"/>
        <w:snapToGrid w:val="0"/>
        <w:spacing w:line="560" w:lineRule="exact"/>
        <w:ind w:firstLine="640" w:firstLineChars="200"/>
        <w:rPr>
          <w:rFonts w:hint="eastAsia" w:ascii="楷体_GB2312" w:hAnsi="宋体" w:eastAsia="楷体_GB2312"/>
          <w:lang w:val="zh-CN"/>
        </w:rPr>
      </w:pPr>
      <w:r>
        <w:rPr>
          <w:rFonts w:hint="eastAsia" w:ascii="楷体_GB2312" w:hAnsi="宋体" w:eastAsia="楷体_GB2312"/>
          <w:lang w:val="zh-CN"/>
        </w:rPr>
        <w:t>项目使用按学校教育教学相关指标，对相关人员进行奖补，符合项目计划安排及绩效目标。</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numPr>
          <w:ilvl w:val="0"/>
          <w:numId w:val="0"/>
        </w:numPr>
        <w:adjustRightInd w:val="0"/>
        <w:snapToGrid w:val="0"/>
        <w:spacing w:line="560" w:lineRule="exact"/>
        <w:ind w:firstLine="643" w:firstLineChars="200"/>
        <w:rPr>
          <w:rFonts w:ascii="楷体_GB2312" w:hAnsi="宋体" w:eastAsia="楷体_GB2312"/>
          <w:b/>
          <w:lang w:val="zh-CN"/>
        </w:rPr>
      </w:pPr>
      <w:r>
        <w:rPr>
          <w:rFonts w:hint="eastAsia" w:ascii="楷体_GB2312" w:hAnsi="宋体" w:eastAsia="楷体_GB2312"/>
          <w:b/>
          <w:lang w:val="zh-CN"/>
        </w:rPr>
        <w:t>项目资金进入学校财务管理，在项目设置管理机构，会计核算按财政要求的方式核算，账务处理规范及时。</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项目组织实施情况：</w:t>
      </w:r>
    </w:p>
    <w:p>
      <w:pPr>
        <w:numPr>
          <w:ilvl w:val="0"/>
          <w:numId w:val="0"/>
        </w:numPr>
        <w:adjustRightInd w:val="0"/>
        <w:snapToGrid w:val="0"/>
        <w:spacing w:line="560" w:lineRule="exact"/>
        <w:ind w:firstLine="643" w:firstLineChars="200"/>
        <w:rPr>
          <w:rFonts w:ascii="楷体_GB2312" w:hAnsi="宋体" w:eastAsia="楷体_GB2312"/>
          <w:b/>
          <w:lang w:val="zh-CN"/>
        </w:rPr>
      </w:pPr>
      <w:r>
        <w:rPr>
          <w:rFonts w:hint="eastAsia" w:ascii="楷体_GB2312" w:hAnsi="宋体" w:eastAsia="楷体_GB2312"/>
          <w:b/>
          <w:lang w:val="zh-CN"/>
        </w:rPr>
        <w:t>项目已环保登记、整体进行可行性评估，由政府立项，按土地买卖法规执行。</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hint="default" w:ascii="楷体_GB2312" w:hAnsi="宋体" w:eastAsia="楷体_GB2312"/>
          <w:b/>
          <w:lang w:val="en-US" w:eastAsia="zh-CN"/>
        </w:rPr>
      </w:pPr>
      <w:r>
        <w:rPr>
          <w:rFonts w:hint="eastAsia" w:ascii="楷体_GB2312" w:hAnsi="宋体" w:eastAsia="楷体_GB2312"/>
          <w:b/>
          <w:lang w:val="zh-CN"/>
        </w:rPr>
        <w:t>（一）项目完成情况：项目已完成支付</w:t>
      </w:r>
      <w:r>
        <w:rPr>
          <w:rFonts w:hint="eastAsia" w:ascii="楷体_GB2312" w:hAnsi="宋体" w:eastAsia="楷体_GB2312"/>
          <w:b/>
          <w:lang w:val="en-US" w:eastAsia="zh-CN"/>
        </w:rPr>
        <w:t>5064.4万元，补充土地购置252.66亩每亩20万元的资金缺口，支付计划按时完成，实现既定目标，无违规记录情况，截止评价，任务已经完成。</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项目资金支付完毕后，对经济影响较大，社会反映好。项目为一次性项目。</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（一）存在的问题：无</w:t>
      </w:r>
    </w:p>
    <w:p>
      <w:pPr>
        <w:adjustRightInd w:val="0"/>
        <w:snapToGrid w:val="0"/>
        <w:spacing w:line="560" w:lineRule="exact"/>
        <w:ind w:firstLine="720"/>
      </w:pPr>
      <w:r>
        <w:rPr>
          <w:rFonts w:hint="eastAsia" w:ascii="楷体_GB2312" w:hAnsi="宋体" w:eastAsia="楷体_GB2312"/>
          <w:b/>
          <w:lang w:val="zh-CN"/>
        </w:rPr>
        <w:t>（二）相关建议：无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DD12E"/>
    <w:multiLevelType w:val="singleLevel"/>
    <w:tmpl w:val="27DDD12E"/>
    <w:lvl w:ilvl="0" w:tentative="0">
      <w:start w:val="1"/>
      <w:numFmt w:val="chineseCounting"/>
      <w:suff w:val="nothing"/>
      <w:lvlText w:val="%1、"/>
      <w:lvlJc w:val="left"/>
      <w:rPr>
        <w:rFonts w:hint="eastAsia"/>
      </w:rPr>
    </w:lvl>
  </w:abstractNum>
  <w:abstractNum w:abstractNumId="1">
    <w:nsid w:val="4B0C4A47"/>
    <w:multiLevelType w:val="singleLevel"/>
    <w:tmpl w:val="4B0C4A4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417211"/>
    <w:rsid w:val="004B6F67"/>
    <w:rsid w:val="00B53A36"/>
    <w:rsid w:val="0EDB478C"/>
    <w:rsid w:val="23E57480"/>
    <w:rsid w:val="291C455A"/>
    <w:rsid w:val="36926D0C"/>
    <w:rsid w:val="40CA4DD0"/>
    <w:rsid w:val="4DAF2BCF"/>
    <w:rsid w:val="4DDB6F66"/>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qFormat/>
    <w:uiPriority w:val="0"/>
    <w:rPr>
      <w:rFonts w:ascii="Times New Roman" w:hAnsi="Times New Roman" w:eastAsia="仿宋_GB2312" w:cs="Times New Roman"/>
      <w:kern w:val="2"/>
      <w:sz w:val="18"/>
      <w:szCs w:val="18"/>
    </w:rPr>
  </w:style>
  <w:style w:type="character" w:customStyle="1" w:styleId="8">
    <w:name w:val="页脚 Char"/>
    <w:basedOn w:val="5"/>
    <w:link w:val="2"/>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132</Words>
  <Characters>755</Characters>
  <Lines>6</Lines>
  <Paragraphs>1</Paragraphs>
  <TotalTime>0</TotalTime>
  <ScaleCrop>false</ScaleCrop>
  <LinksUpToDate>false</LinksUpToDate>
  <CharactersWithSpaces>886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2022-06-15T06:05:01Z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