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720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乐山一职中“初中学业水平考试考务费”</w:t>
      </w:r>
      <w:r>
        <w:rPr>
          <w:rFonts w:hint="eastAsia" w:ascii="方正小标宋简体" w:hAnsi="宋体" w:eastAsia="方正小标宋简体"/>
          <w:sz w:val="44"/>
          <w:szCs w:val="44"/>
          <w:lang w:val="en-US"/>
        </w:rPr>
        <w:t>重点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市级重点项目“初中学业水平考试考务费”介绍项目基本情况重点说明以下内容：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_GB2312" w:hAnsi="宋体" w:eastAsia="仿宋_GB2312"/>
          <w:lang w:val="en-US" w:eastAsia="zh-CN"/>
        </w:rPr>
      </w:pPr>
      <w:r>
        <w:rPr>
          <w:rFonts w:hint="eastAsia" w:ascii="仿宋_GB2312" w:hAnsi="宋体"/>
          <w:lang w:val="zh-CN"/>
        </w:rPr>
        <w:t>市教育安排的中考阅卷点，乐山一职中，获得项目“初中学业水平考试考务费”，资金总量为</w:t>
      </w:r>
      <w:r>
        <w:rPr>
          <w:rFonts w:hint="eastAsia" w:ascii="仿宋_GB2312" w:hAnsi="宋体"/>
          <w:lang w:val="en-US" w:eastAsia="zh-CN"/>
        </w:rPr>
        <w:t>4.7万元，主要用于中考工作人员劳务费、工作餐费、办公用品费，服务中考学生2.9万，阅卷工作人员计300人。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楷体_GB2312" w:hAnsi="宋体" w:eastAsia="仿宋_GB2312"/>
          <w:b/>
          <w:lang w:val="en-US" w:eastAsia="zh-CN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项目资金由学校经财政大平台指标中提交申报，申请单交由财政经办科室审批，符合资金管理办法的申报及批复程序。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项目绩效目标：</w:t>
      </w:r>
    </w:p>
    <w:p>
      <w:pPr>
        <w:numPr>
          <w:numId w:val="0"/>
        </w:numPr>
        <w:adjustRightInd w:val="0"/>
        <w:snapToGrid w:val="0"/>
        <w:spacing w:line="560" w:lineRule="exact"/>
        <w:ind w:firstLine="964" w:firstLineChars="300"/>
        <w:rPr>
          <w:rFonts w:hint="default" w:ascii="楷体_GB2312" w:hAnsi="宋体" w:eastAsia="楷体_GB2312"/>
          <w:b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该项目绩效目标是对中考阅卷工作后勤保障，服务学生</w:t>
      </w:r>
      <w:r>
        <w:rPr>
          <w:rFonts w:hint="eastAsia" w:ascii="楷体_GB2312" w:hAnsi="宋体" w:eastAsia="楷体_GB2312"/>
          <w:b/>
          <w:lang w:val="en-US" w:eastAsia="zh-CN"/>
        </w:rPr>
        <w:t>2.9万名，阅卷工作人员300余名。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仿宋_GB2312" w:hAnsi="宋体"/>
          <w:lang w:val="zh-CN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该项目资金申报目标合理可行，与申报相符。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ascii="仿宋_GB2312" w:hAnsi="宋体"/>
          <w:lang w:val="zh-CN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ascii="仿宋_GB2312" w:hAnsi="宋体"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1．资金计划及到位：资金下达计划及时，申报到位及时。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资金使用：项目使用按学校按发生的费用支付相关的人员劳务费、付工作餐费及办公用品款。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项目资金进入学校财务管理，在项目设置管理机构，会计核算按财政要求的方式核算，账务处理规范及时。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项目组织实施情况。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560" w:lineRule="exact"/>
        <w:jc w:val="both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项目管理机构由学校教务科组织实施，由学校纪委监管。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560" w:lineRule="exact"/>
        <w:jc w:val="both"/>
        <w:rPr>
          <w:rFonts w:hint="eastAsia" w:ascii="楷体_GB2312" w:hAnsi="宋体" w:eastAsia="楷体_GB2312"/>
          <w:b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（一）项目完成情况：</w:t>
      </w:r>
    </w:p>
    <w:p>
      <w:pPr>
        <w:adjustRightInd w:val="0"/>
        <w:snapToGrid w:val="0"/>
        <w:spacing w:line="560" w:lineRule="exact"/>
        <w:ind w:firstLine="720"/>
        <w:rPr>
          <w:rFonts w:hint="default" w:ascii="楷体_GB2312" w:hAnsi="宋体" w:eastAsia="楷体_GB2312"/>
          <w:b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截至评价，本项目对照计划已经完成，按要求完成了中考阅卷任务，服务</w:t>
      </w:r>
      <w:r>
        <w:rPr>
          <w:rFonts w:hint="eastAsia" w:ascii="楷体_GB2312" w:hAnsi="宋体" w:eastAsia="楷体_GB2312"/>
          <w:b/>
          <w:lang w:val="en-US" w:eastAsia="zh-CN"/>
        </w:rPr>
        <w:t>2.9万名学生，保障了中考阅卷人员的费用。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hint="eastAsia" w:ascii="楷体_GB2312" w:hAnsi="宋体" w:eastAsia="楷体_GB2312"/>
          <w:b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项目使用资金</w:t>
      </w:r>
      <w:r>
        <w:rPr>
          <w:rFonts w:hint="eastAsia" w:ascii="楷体_GB2312" w:hAnsi="宋体" w:eastAsia="楷体_GB2312"/>
          <w:b/>
          <w:lang w:val="en-US" w:eastAsia="zh-CN"/>
        </w:rPr>
        <w:t>4.7万元</w:t>
      </w:r>
      <w:r>
        <w:rPr>
          <w:rFonts w:hint="eastAsia" w:ascii="楷体_GB2312" w:hAnsi="宋体" w:eastAsia="楷体_GB2312"/>
          <w:b/>
          <w:lang w:val="zh-CN"/>
        </w:rPr>
        <w:t>，收益人群达到</w:t>
      </w:r>
      <w:r>
        <w:rPr>
          <w:rFonts w:hint="eastAsia" w:ascii="楷体_GB2312" w:hAnsi="宋体" w:eastAsia="楷体_GB2312"/>
          <w:b/>
          <w:lang w:val="en-US" w:eastAsia="zh-CN"/>
        </w:rPr>
        <w:t>2.9万余名人员，</w:t>
      </w:r>
      <w:r>
        <w:rPr>
          <w:rFonts w:hint="eastAsia" w:ascii="楷体_GB2312" w:hAnsi="宋体" w:eastAsia="楷体_GB2312"/>
          <w:b/>
          <w:lang w:val="zh-CN"/>
        </w:rPr>
        <w:t>收效大，社会效益好，可持续性效益大，服务对象满意度高。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楷体_GB2312" w:hAnsi="宋体" w:eastAsia="楷体_GB2312"/>
          <w:b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（一）存在的问题：无</w:t>
      </w:r>
    </w:p>
    <w:p>
      <w:pPr>
        <w:adjustRightInd w:val="0"/>
        <w:snapToGrid w:val="0"/>
        <w:spacing w:line="560" w:lineRule="exact"/>
        <w:ind w:firstLine="720"/>
        <w:rPr>
          <w:rFonts w:hint="eastAsia" w:eastAsia="仿宋_GB2312"/>
          <w:lang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（二）相关建议：</w:t>
      </w:r>
      <w:r>
        <w:rPr>
          <w:rFonts w:hint="eastAsia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59ADE0"/>
    <w:multiLevelType w:val="singleLevel"/>
    <w:tmpl w:val="C359ADE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EF2FD03"/>
    <w:multiLevelType w:val="singleLevel"/>
    <w:tmpl w:val="DEF2FD0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681D263"/>
    <w:multiLevelType w:val="singleLevel"/>
    <w:tmpl w:val="0681D263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417211"/>
    <w:rsid w:val="004B6F67"/>
    <w:rsid w:val="00B53A36"/>
    <w:rsid w:val="0EDB478C"/>
    <w:rsid w:val="291C455A"/>
    <w:rsid w:val="2F3A02CD"/>
    <w:rsid w:val="3600441A"/>
    <w:rsid w:val="36926D0C"/>
    <w:rsid w:val="47482B0E"/>
    <w:rsid w:val="4DAF2BCF"/>
    <w:rsid w:val="4DDB6F66"/>
    <w:rsid w:val="6A404CEA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</Words>
  <Characters>755</Characters>
  <Lines>6</Lines>
  <Paragraphs>1</Paragraphs>
  <TotalTime>12</TotalTime>
  <ScaleCrop>false</ScaleCrop>
  <LinksUpToDate>false</LinksUpToDate>
  <CharactersWithSpaces>886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2022-06-15T02:10:12Z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